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ackground w:color="FFFFFF"/>
  <w:body>
    <w:p>
      <w:pPr>
        <w:pStyle w:val="TabellenInhalt"/>
        <w:pageBreakBefore/>
        <w:spacing w:lineRule="auto" w:line="288" w:before="170" w:after="0"/>
        <w:rPr>
          <w:rFonts w:cs="Arial Narrow" w:ascii="Arial Narrow" w:hAnsi="Arial Narrow"/>
          <w:sz w:val="32"/>
          <w:szCs w:val="32"/>
        </w:rPr>
      </w:pPr>
      <w:r>
        <w:rPr>
          <w:rFonts w:cs="Arial Narrow" w:ascii="Arial Narrow" w:hAnsi="Arial Narrow"/>
          <w:sz w:val="32"/>
          <w:szCs w:val="32"/>
        </w:rPr>
        <w:t>6. Quellen</w:t>
      </w:r>
    </w:p>
    <w:tbl>
      <w:tblPr>
        <w:jc w:val="left"/>
        <w:tblInd w:w="40" w:type="dxa"/>
        <w:tblBorders>
          <w:top w:val="nil"/>
          <w:left w:val="nil"/>
          <w:bottom w:val="nil"/>
          <w:insideH w:val="nil"/>
          <w:right w:val="nil"/>
          <w:insideV w:val="nil"/>
        </w:tblBorders>
        <w:tblCellMar>
          <w:top w:w="40" w:type="dxa"/>
          <w:left w:w="40" w:type="dxa"/>
          <w:bottom w:w="40" w:type="dxa"/>
          <w:right w:w="40" w:type="dxa"/>
        </w:tblCellMar>
      </w:tblPr>
      <w:tblGrid>
        <w:gridCol w:w="4855"/>
        <w:gridCol w:w="4856"/>
        <w:gridCol w:w="4856"/>
      </w:tblGrid>
      <w:tr>
        <w:trPr>
          <w:cantSplit w:val="false"/>
        </w:trPr>
        <w:tc>
          <w:tcPr>
            <w:tcW w:w="4855" w:type="dxa"/>
            <w:tcBorders>
              <w:top w:val="nil"/>
              <w:left w:val="nil"/>
              <w:bottom w:val="nil"/>
              <w:insideH w:val="nil"/>
              <w:right w:val="nil"/>
              <w:insideV w:val="nil"/>
            </w:tcBorders>
            <w:shd w:fill="FFFFFF" w:val="clear"/>
          </w:tcPr>
          <w:p>
            <w:pPr>
              <w:pStyle w:val="TabellenInhalt"/>
              <w:spacing w:lineRule="auto" w:line="288" w:before="0" w:after="113"/>
              <w:rPr>
                <w:rFonts w:eastAsia="SimSun" w:cs="Arial Narrow" w:ascii="Arial Narrow" w:hAnsi="Arial Narrow"/>
                <w:b w:val="false"/>
                <w:i w:val="false"/>
                <w:sz w:val="22"/>
                <w:szCs w:val="22"/>
                <w:lang w:val="de-DE" w:eastAsia="zh-CN" w:bidi="hi-IN"/>
              </w:rPr>
            </w:pPr>
            <w:r>
              <w:rPr>
                <w:rFonts w:eastAsia="SimSun" w:cs="Arial Narrow" w:ascii="Arial Narrow" w:hAnsi="Arial Narrow"/>
                <w:b w:val="false"/>
                <w:i w:val="false"/>
                <w:sz w:val="22"/>
                <w:szCs w:val="22"/>
                <w:lang w:val="de-DE" w:eastAsia="zh-CN" w:bidi="hi-IN"/>
              </w:rPr>
              <w:t xml:space="preserve">Wissenschaftliche Erkenntnisse werden aus bereits vorhandenen Erkenntnissen hergleitet </w:t>
              <w:br/>
              <w:t xml:space="preserve">oder auf deren Grundlage erarbeitet. Dies muss lückenlos und jederzeit nachvollziehbar dargelegt sein. Also sind </w:t>
            </w:r>
            <w:hyperlink r:id="rId2">
              <w:r>
                <w:rPr>
                  <w:rStyle w:val="Internetlink"/>
                  <w:rFonts w:eastAsia="SimSun" w:cs="Arial Narrow" w:ascii="Arial Narrow" w:hAnsi="Arial Narrow"/>
                  <w:b w:val="false"/>
                  <w:i w:val="false"/>
                  <w:color w:val="000080"/>
                  <w:sz w:val="22"/>
                  <w:szCs w:val="22"/>
                  <w:lang w:val="de-DE" w:eastAsia="zh-CN" w:bidi="hi-IN"/>
                </w:rPr>
                <w:t>Zitate</w:t>
              </w:r>
            </w:hyperlink>
            <w:r>
              <w:rPr>
                <w:rFonts w:eastAsia="SimSun" w:cs="Arial Narrow" w:ascii="Arial Narrow" w:hAnsi="Arial Narrow"/>
                <w:b w:val="false"/>
                <w:i w:val="false"/>
                <w:sz w:val="22"/>
                <w:szCs w:val="22"/>
                <w:lang w:val="de-DE" w:eastAsia="zh-CN" w:bidi="hi-IN"/>
              </w:rPr>
              <w:t xml:space="preserve"> und andere Quellen exakt und vorschriftsmäßig zu belegen, um </w:t>
            </w:r>
            <w:r>
              <w:rPr>
                <w:rFonts w:eastAsia="SimSun" w:cs="Arial Narrow" w:ascii="Arial Narrow" w:hAnsi="Arial Narrow"/>
                <w:b w:val="false"/>
                <w:i w:val="false"/>
                <w:color w:val="000080"/>
                <w:sz w:val="22"/>
                <w:szCs w:val="22"/>
                <w:lang w:val="de-DE" w:eastAsia="zh-CN" w:bidi="hi-IN"/>
              </w:rPr>
              <w:t>wissen</w:t>
              <w:softHyphen/>
              <w:t>schaftliche Arbeiten</w:t>
            </w:r>
            <w:r>
              <w:rPr>
                <w:rFonts w:eastAsia="SimSun" w:cs="Arial Narrow" w:ascii="Arial Narrow" w:hAnsi="Arial Narrow"/>
                <w:b w:val="false"/>
                <w:i w:val="false"/>
                <w:sz w:val="22"/>
                <w:szCs w:val="22"/>
                <w:lang w:val="de-DE" w:eastAsia="zh-CN" w:bidi="hi-IN"/>
              </w:rPr>
              <w:t xml:space="preserve"> und ihre Ergebnisse stets und ohne erneutem Aufwand überprüfen zu können.</w:t>
            </w:r>
          </w:p>
        </w:tc>
        <w:tc>
          <w:tcPr>
            <w:tcW w:w="4856" w:type="dxa"/>
            <w:tcBorders>
              <w:top w:val="nil"/>
              <w:left w:val="nil"/>
              <w:bottom w:val="nil"/>
              <w:insideH w:val="nil"/>
              <w:right w:val="nil"/>
              <w:insideV w:val="nil"/>
            </w:tcBorders>
            <w:shd w:fill="FFFFFF" w:val="clear"/>
          </w:tcPr>
          <w:p>
            <w:pPr>
              <w:pStyle w:val="Normal"/>
              <w:spacing w:lineRule="auto" w:line="288" w:before="0" w:after="113"/>
              <w:rPr>
                <w:rFonts w:eastAsia="SimSun" w:cs="Arial Narrow" w:ascii="Arial Narrow" w:hAnsi="Arial Narrow"/>
                <w:b w:val="false"/>
                <w:i w:val="false"/>
                <w:sz w:val="22"/>
                <w:szCs w:val="22"/>
                <w:lang w:val="de-DE" w:eastAsia="zh-CN" w:bidi="hi-IN"/>
              </w:rPr>
            </w:pPr>
            <w:r>
              <w:rPr>
                <w:rFonts w:eastAsia="SimSun" w:cs="Arial Narrow" w:ascii="Arial Narrow" w:hAnsi="Arial Narrow"/>
                <w:b w:val="false"/>
                <w:i w:val="false"/>
                <w:sz w:val="22"/>
                <w:szCs w:val="22"/>
                <w:lang w:val="de-DE" w:eastAsia="zh-CN" w:bidi="hi-IN"/>
              </w:rPr>
              <w:t xml:space="preserve">Wissenschaftliche Quellen i.w.S. </w:t>
              <w:br/>
              <w:t>sind Grundlagen neuer Erkenntnisse, so z. Bsp. Artefakte, Experimente, Dokumente, wissenschaftliche Ausarbeitungen oder Notizen, …</w:t>
            </w:r>
          </w:p>
          <w:p>
            <w:pPr>
              <w:pStyle w:val="TabellenInhalt"/>
              <w:spacing w:before="0" w:after="113"/>
              <w:rPr>
                <w:rFonts w:eastAsia="SimSun" w:cs="Arial Narrow" w:ascii="Arial Narrow" w:hAnsi="Arial Narrow"/>
                <w:b w:val="false"/>
                <w:i w:val="false"/>
                <w:sz w:val="20"/>
                <w:szCs w:val="20"/>
                <w:lang w:val="de-DE" w:eastAsia="zh-CN" w:bidi="hi-IN"/>
              </w:rPr>
            </w:pPr>
            <w:r>
              <w:rPr>
                <w:rFonts w:eastAsia="SimSun" w:cs="Arial Narrow" w:ascii="Arial Narrow" w:hAnsi="Arial Narrow"/>
                <w:b w:val="false"/>
                <w:i w:val="false"/>
                <w:sz w:val="20"/>
                <w:szCs w:val="20"/>
                <w:lang w:val="de-DE" w:eastAsia="zh-CN" w:bidi="hi-IN"/>
              </w:rPr>
              <w:t>Einerseits gibt es Quellen von wissenschaftlichem Interesse wie historische Dokumente, Bauwerke oder Artefakte, die in geeigneter Weise Aufschluss über Vergangenes geben.</w:t>
              <w:br/>
              <w:t>Bsp.: Himmelsscheibe von Nebra</w:t>
            </w:r>
          </w:p>
          <w:p>
            <w:pPr>
              <w:pStyle w:val="TabellenInhalt"/>
              <w:spacing w:before="0" w:after="113"/>
              <w:rPr>
                <w:rFonts w:eastAsia="SimSun" w:cs="Arial Narrow" w:ascii="Arial Narrow" w:hAnsi="Arial Narrow"/>
                <w:b w:val="false"/>
                <w:i w:val="false"/>
                <w:sz w:val="20"/>
                <w:szCs w:val="20"/>
                <w:lang w:val="de-DE" w:eastAsia="zh-CN" w:bidi="hi-IN"/>
              </w:rPr>
            </w:pPr>
            <w:r>
              <w:rPr>
                <w:rFonts w:eastAsia="SimSun" w:cs="Arial Narrow" w:ascii="Arial Narrow" w:hAnsi="Arial Narrow"/>
                <w:b w:val="false"/>
                <w:i w:val="false"/>
                <w:sz w:val="20"/>
                <w:szCs w:val="20"/>
                <w:lang w:val="de-DE" w:eastAsia="zh-CN" w:bidi="hi-IN"/>
              </w:rPr>
              <w:t xml:space="preserve">Andererseits gibt es Quellen mit wissenschaftlich anerkannten Wahrheiten wie Fakten und Tatsachen (gewonnen in Experimenten oder Beobachtungen) sowie logisch abgeleitete Aussagen, meist aus umfassenderen Theorien hergeleitet. </w:t>
              <w:br/>
              <w:t>Bsp.: Einstein: Die Relativitätstheorie.</w:t>
            </w:r>
          </w:p>
        </w:tc>
        <w:tc>
          <w:tcPr>
            <w:tcW w:w="4856" w:type="dxa"/>
            <w:tcBorders>
              <w:top w:val="nil"/>
              <w:left w:val="nil"/>
              <w:bottom w:val="nil"/>
              <w:insideH w:val="nil"/>
              <w:right w:val="nil"/>
              <w:insideV w:val="nil"/>
            </w:tcBorders>
            <w:shd w:fill="FFFFFF" w:val="clear"/>
          </w:tcPr>
          <w:p>
            <w:pPr>
              <w:pStyle w:val="Textkrper"/>
              <w:spacing w:lineRule="auto" w:line="288" w:before="0" w:after="113"/>
              <w:rPr>
                <w:rFonts w:eastAsia="SimSun" w:cs="Arial Narrow" w:ascii="Arial Narrow" w:hAnsi="Arial Narrow"/>
                <w:b w:val="false"/>
                <w:i w:val="false"/>
                <w:sz w:val="22"/>
                <w:szCs w:val="22"/>
                <w:lang w:val="de-DE" w:eastAsia="zh-CN" w:bidi="hi-IN"/>
              </w:rPr>
            </w:pPr>
            <w:r>
              <w:rPr>
                <w:rFonts w:eastAsia="SimSun" w:cs="Arial Narrow" w:ascii="Arial Narrow" w:hAnsi="Arial Narrow"/>
                <w:b w:val="false"/>
                <w:i w:val="false"/>
                <w:sz w:val="22"/>
                <w:szCs w:val="22"/>
                <w:lang w:val="de-DE" w:eastAsia="zh-CN" w:bidi="hi-IN"/>
              </w:rPr>
              <w:t xml:space="preserve">Wissenschaftliche Quellen i.e.S. </w:t>
              <w:br/>
              <w:t xml:space="preserve">sind Texte aus veröffentlichten </w:t>
            </w:r>
            <w:r>
              <w:rPr>
                <w:rFonts w:eastAsia="SimSun" w:cs="Arial Narrow" w:ascii="Arial Narrow" w:hAnsi="Arial Narrow"/>
                <w:b w:val="false"/>
                <w:i w:val="false"/>
                <w:color w:val="000080"/>
                <w:sz w:val="22"/>
                <w:szCs w:val="22"/>
                <w:lang w:val="de-DE" w:eastAsia="zh-CN" w:bidi="hi-IN"/>
              </w:rPr>
              <w:t>wissenschaftlichen Arbeiten</w:t>
            </w:r>
            <w:r>
              <w:rPr>
                <w:rFonts w:eastAsia="SimSun" w:cs="Arial Narrow" w:ascii="Arial Narrow" w:hAnsi="Arial Narrow"/>
                <w:b w:val="false"/>
                <w:i w:val="false"/>
                <w:sz w:val="22"/>
                <w:szCs w:val="22"/>
                <w:lang w:val="de-DE" w:eastAsia="zh-CN" w:bidi="hi-IN"/>
              </w:rPr>
              <w:t xml:space="preserve">, deren Urheber bekannt sind. Sie haben die Verantwortung für Wahrheit, </w:t>
            </w:r>
            <w:r>
              <w:rPr>
                <w:rFonts w:eastAsia="SimSun" w:cs="Arial Narrow" w:ascii="Arial Narrow" w:hAnsi="Arial Narrow"/>
                <w:b w:val="false"/>
                <w:i w:val="false"/>
                <w:color w:val="000080"/>
                <w:sz w:val="22"/>
                <w:szCs w:val="22"/>
                <w:lang w:val="de-DE" w:eastAsia="zh-CN" w:bidi="hi-IN"/>
              </w:rPr>
              <w:t>Wissenschaftlich</w:t>
            </w:r>
            <w:r>
              <w:rPr>
                <w:rFonts w:eastAsia="SimSun" w:cs="Arial Narrow" w:ascii="Arial Narrow" w:hAnsi="Arial Narrow"/>
                <w:b w:val="false"/>
                <w:i w:val="false"/>
                <w:sz w:val="22"/>
                <w:szCs w:val="22"/>
                <w:lang w:val="de-DE" w:eastAsia="zh-CN" w:bidi="hi-IN"/>
              </w:rPr>
              <w:t>keit und Verbreitung (Veröffentlichung) übernommen.</w:t>
            </w:r>
          </w:p>
          <w:p>
            <w:pPr>
              <w:pStyle w:val="TabellenInhalt"/>
              <w:spacing w:lineRule="auto" w:line="288" w:before="0" w:after="113"/>
              <w:rPr>
                <w:rFonts w:eastAsia="SimSun" w:cs="Arial Narrow" w:ascii="Arial Narrow" w:hAnsi="Arial Narrow"/>
                <w:b w:val="false"/>
                <w:i w:val="false"/>
                <w:sz w:val="22"/>
                <w:szCs w:val="22"/>
                <w:lang w:val="de-DE" w:eastAsia="zh-CN" w:bidi="hi-IN"/>
              </w:rPr>
            </w:pPr>
            <w:r>
              <w:rPr>
                <w:rFonts w:eastAsia="SimSun" w:cs="Arial Narrow" w:ascii="Arial Narrow" w:hAnsi="Arial Narrow"/>
                <w:b w:val="false"/>
                <w:i w:val="false"/>
                <w:sz w:val="22"/>
                <w:szCs w:val="22"/>
                <w:lang w:val="de-DE" w:eastAsia="zh-CN" w:bidi="hi-IN"/>
              </w:rPr>
              <w:t xml:space="preserve">Mit einer Quellenkritik wird untersucht bzw. angegeben, inwieweit Quellen </w:t>
            </w:r>
            <w:r>
              <w:rPr>
                <w:rFonts w:eastAsia="SimSun" w:cs="Arial Narrow" w:ascii="Arial Narrow" w:hAnsi="Arial Narrow"/>
                <w:b w:val="false"/>
                <w:i w:val="false"/>
                <w:color w:val="000080"/>
                <w:sz w:val="22"/>
                <w:szCs w:val="22"/>
                <w:lang w:val="de-DE" w:eastAsia="zh-CN" w:bidi="hi-IN"/>
              </w:rPr>
              <w:t>wissenschaftlich</w:t>
            </w:r>
            <w:r>
              <w:rPr>
                <w:rFonts w:eastAsia="SimSun" w:cs="Arial Narrow" w:ascii="Arial Narrow" w:hAnsi="Arial Narrow"/>
                <w:b w:val="false"/>
                <w:i w:val="false"/>
                <w:sz w:val="22"/>
                <w:szCs w:val="22"/>
                <w:lang w:val="de-DE" w:eastAsia="zh-CN" w:bidi="hi-IN"/>
              </w:rPr>
              <w:t xml:space="preserve"> sind oder mit ihnen Aussagen begründet, beleget oder widerlegt </w:t>
              <w:br/>
              <w:t>werden können.</w:t>
            </w:r>
          </w:p>
        </w:tc>
      </w:tr>
    </w:tbl>
    <w:p>
      <w:pPr>
        <w:pStyle w:val="Textkrper"/>
        <w:spacing w:lineRule="auto" w:line="288" w:before="170" w:after="0"/>
        <w:rPr>
          <w:rFonts w:cs="Arial Narrow" w:ascii="Arial Narrow" w:hAnsi="Arial Narrow"/>
          <w:b w:val="false"/>
          <w:i w:val="false"/>
          <w:sz w:val="32"/>
          <w:szCs w:val="32"/>
        </w:rPr>
      </w:pPr>
      <w:r>
        <w:rPr>
          <w:rFonts w:cs="Arial Narrow" w:ascii="Arial Narrow" w:hAnsi="Arial Narrow"/>
          <w:b w:val="false"/>
          <w:i w:val="false"/>
          <w:sz w:val="32"/>
          <w:szCs w:val="32"/>
        </w:rPr>
      </w:r>
    </w:p>
    <w:p>
      <w:pPr>
        <w:pStyle w:val="Textkrper"/>
        <w:spacing w:lineRule="auto" w:line="288" w:before="170" w:after="0"/>
        <w:rPr>
          <w:rFonts w:cs="Arial Narrow" w:ascii="Arial Narrow" w:hAnsi="Arial Narrow"/>
          <w:b w:val="false"/>
          <w:i w:val="false"/>
          <w:sz w:val="32"/>
          <w:szCs w:val="32"/>
        </w:rPr>
      </w:pPr>
      <w:r>
        <w:rPr>
          <w:rFonts w:cs="Arial Narrow" w:ascii="Arial Narrow" w:hAnsi="Arial Narrow"/>
          <w:b w:val="false"/>
          <w:i w:val="false"/>
          <w:sz w:val="32"/>
          <w:szCs w:val="32"/>
        </w:rPr>
        <w:t>Quellen finden, sichern und angeben</w:t>
      </w:r>
    </w:p>
    <w:tbl>
      <w:tblPr>
        <w:jc w:val="left"/>
        <w:tblInd w:w="55" w:type="dxa"/>
        <w:tblBorders>
          <w:top w:val="nil"/>
          <w:left w:val="nil"/>
          <w:bottom w:val="nil"/>
          <w:insideH w:val="nil"/>
          <w:right w:val="nil"/>
          <w:insideV w:val="nil"/>
        </w:tblBorders>
        <w:tblCellMar>
          <w:top w:w="55" w:type="dxa"/>
          <w:left w:w="55" w:type="dxa"/>
          <w:bottom w:w="55" w:type="dxa"/>
          <w:right w:w="55" w:type="dxa"/>
        </w:tblCellMar>
      </w:tblPr>
      <w:tblGrid>
        <w:gridCol w:w="4855"/>
        <w:gridCol w:w="4377"/>
        <w:gridCol w:w="5335"/>
      </w:tblGrid>
      <w:tr>
        <w:trPr>
          <w:cantSplit w:val="false"/>
        </w:trPr>
        <w:tc>
          <w:tcPr>
            <w:tcW w:w="4855" w:type="dxa"/>
            <w:tcBorders>
              <w:top w:val="nil"/>
              <w:left w:val="nil"/>
              <w:bottom w:val="nil"/>
              <w:insideH w:val="nil"/>
              <w:right w:val="nil"/>
              <w:insideV w:val="nil"/>
            </w:tcBorders>
            <w:shd w:fill="FFFFFF" w:val="clear"/>
          </w:tcPr>
          <w:p>
            <w:pPr>
              <w:pStyle w:val="Textkrper"/>
              <w:spacing w:lineRule="auto" w:line="288" w:before="0" w:after="113"/>
              <w:rPr>
                <w:rFonts w:eastAsia="SimSun" w:cs="Arial Narrow" w:ascii="Arial Narrow" w:hAnsi="Arial Narrow"/>
                <w:b w:val="false"/>
                <w:i w:val="false"/>
                <w:sz w:val="22"/>
                <w:szCs w:val="22"/>
                <w:lang w:val="de-DE" w:eastAsia="zh-CN" w:bidi="hi-IN"/>
              </w:rPr>
            </w:pPr>
            <w:r>
              <w:rPr>
                <w:rFonts w:eastAsia="SimSun" w:cs="Arial Narrow" w:ascii="Arial Narrow" w:hAnsi="Arial Narrow"/>
                <w:b w:val="false"/>
                <w:i w:val="false"/>
                <w:sz w:val="22"/>
                <w:szCs w:val="22"/>
                <w:lang w:val="de-DE" w:eastAsia="zh-CN" w:bidi="hi-IN"/>
              </w:rPr>
              <w:t>Ein Recherchieren – also Suchen und Finden von Quellen – muss umfassend dokumentiert sein, um später darauf zurückgreifen zu können. Beim endgültigen Auswählen der Quellen soll nicht erneut gesucht werden müssen. Im schlimmsten Fall ist eine Quelle nicht mehr auffindbar …</w:t>
            </w:r>
          </w:p>
          <w:p>
            <w:pPr>
              <w:pStyle w:val="Textkrper"/>
              <w:spacing w:lineRule="auto" w:line="288" w:before="0" w:after="113"/>
              <w:rPr>
                <w:rFonts w:eastAsia="SimSun" w:cs="Arial Narrow" w:ascii="Arial Narrow" w:hAnsi="Arial Narrow"/>
                <w:b w:val="false"/>
                <w:i w:val="false"/>
                <w:sz w:val="22"/>
                <w:szCs w:val="22"/>
                <w:lang w:val="de-DE" w:eastAsia="zh-CN" w:bidi="hi-IN"/>
              </w:rPr>
            </w:pPr>
            <w:r>
              <w:rPr>
                <w:rFonts w:eastAsia="SimSun" w:cs="Arial Narrow" w:ascii="Arial Narrow" w:hAnsi="Arial Narrow"/>
                <w:b w:val="false"/>
                <w:i w:val="false"/>
                <w:sz w:val="22"/>
                <w:szCs w:val="22"/>
                <w:lang w:val="de-DE" w:eastAsia="zh-CN" w:bidi="hi-IN"/>
              </w:rPr>
              <w:t>Zudem muss die aufgewendete Arbeitszeit nachgewiesen werden – für die Seminarfachleistung stehen in der Phase der Themenbearbeitung eine Doppelstunde pro Schul</w:t>
              <w:softHyphen/>
              <w:t>woche zur Verfügung, also 40</w:t>
            </w:r>
            <w:r>
              <w:rPr>
                <w:rFonts w:eastAsia="SimSun" w:cs="Arial Narrow" w:ascii="Arial Narrow" w:hAnsi="Arial Narrow"/>
                <w:b w:val="false"/>
                <w:i w:val="false"/>
                <w:w w:val="50"/>
                <w:sz w:val="22"/>
                <w:szCs w:val="22"/>
                <w:lang w:val="de-DE" w:eastAsia="zh-CN" w:bidi="hi-IN"/>
              </w:rPr>
              <w:t xml:space="preserve"> </w:t>
            </w:r>
            <w:r>
              <w:rPr>
                <w:rFonts w:eastAsia="SimSun" w:cs="Arial Narrow" w:ascii="Arial Narrow" w:hAnsi="Arial Narrow"/>
                <w:b w:val="false"/>
                <w:i w:val="false"/>
                <w:sz w:val="22"/>
                <w:szCs w:val="22"/>
                <w:lang w:val="de-DE" w:eastAsia="zh-CN" w:bidi="hi-IN"/>
              </w:rPr>
              <w:t>x</w:t>
            </w:r>
            <w:r>
              <w:rPr>
                <w:rFonts w:eastAsia="SimSun" w:cs="Arial Narrow" w:ascii="Arial Narrow" w:hAnsi="Arial Narrow"/>
                <w:b w:val="false"/>
                <w:i w:val="false"/>
                <w:w w:val="50"/>
                <w:sz w:val="22"/>
                <w:szCs w:val="22"/>
                <w:lang w:val="de-DE" w:eastAsia="zh-CN" w:bidi="hi-IN"/>
              </w:rPr>
              <w:t xml:space="preserve"> </w:t>
            </w:r>
            <w:r>
              <w:rPr>
                <w:rFonts w:eastAsia="SimSun" w:cs="Arial Narrow" w:ascii="Arial Narrow" w:hAnsi="Arial Narrow"/>
                <w:b w:val="false"/>
                <w:i w:val="false"/>
                <w:sz w:val="22"/>
                <w:szCs w:val="22"/>
                <w:lang w:val="de-DE" w:eastAsia="zh-CN" w:bidi="hi-IN"/>
              </w:rPr>
              <w:t>90'</w:t>
            </w:r>
            <w:r>
              <w:rPr>
                <w:rFonts w:eastAsia="SimSun" w:cs="Arial Narrow" w:ascii="Arial Narrow" w:hAnsi="Arial Narrow"/>
                <w:b w:val="false"/>
                <w:i w:val="false"/>
                <w:w w:val="50"/>
                <w:sz w:val="22"/>
                <w:szCs w:val="22"/>
                <w:lang w:val="de-DE" w:eastAsia="zh-CN" w:bidi="hi-IN"/>
              </w:rPr>
              <w:t xml:space="preserve"> </w:t>
            </w:r>
            <w:r>
              <w:rPr>
                <w:rFonts w:eastAsia="SimSun" w:cs="Arial Narrow" w:ascii="Arial Narrow" w:hAnsi="Arial Narrow"/>
                <w:b w:val="false"/>
                <w:i w:val="false"/>
                <w:sz w:val="22"/>
                <w:szCs w:val="22"/>
                <w:lang w:val="de-DE" w:eastAsia="zh-CN" w:bidi="hi-IN"/>
              </w:rPr>
              <w:t>=</w:t>
            </w:r>
            <w:r>
              <w:rPr>
                <w:rFonts w:eastAsia="SimSun" w:cs="Arial Narrow" w:ascii="Arial Narrow" w:hAnsi="Arial Narrow"/>
                <w:b w:val="false"/>
                <w:i w:val="false"/>
                <w:w w:val="50"/>
                <w:sz w:val="22"/>
                <w:szCs w:val="22"/>
                <w:lang w:val="de-DE" w:eastAsia="zh-CN" w:bidi="hi-IN"/>
              </w:rPr>
              <w:t xml:space="preserve"> </w:t>
            </w:r>
            <w:r>
              <w:rPr>
                <w:rFonts w:eastAsia="SimSun" w:cs="Arial Narrow" w:ascii="Arial Narrow" w:hAnsi="Arial Narrow"/>
                <w:b w:val="false"/>
                <w:i w:val="false"/>
                <w:sz w:val="22"/>
                <w:szCs w:val="22"/>
                <w:lang w:val="de-DE" w:eastAsia="zh-CN" w:bidi="hi-IN"/>
              </w:rPr>
              <w:t>60 Zeitstunden.</w:t>
            </w:r>
          </w:p>
        </w:tc>
        <w:tc>
          <w:tcPr>
            <w:tcW w:w="4377" w:type="dxa"/>
            <w:tcBorders>
              <w:top w:val="nil"/>
              <w:left w:val="nil"/>
              <w:bottom w:val="nil"/>
              <w:insideH w:val="nil"/>
              <w:right w:val="nil"/>
              <w:insideV w:val="nil"/>
            </w:tcBorders>
            <w:shd w:fill="FFFFFF" w:val="clear"/>
          </w:tcPr>
          <w:p>
            <w:pPr>
              <w:pStyle w:val="Textkrper"/>
              <w:spacing w:lineRule="auto" w:line="288" w:before="0" w:after="113"/>
              <w:rPr>
                <w:rFonts w:eastAsia="SimSun" w:cs="Arial Narrow" w:ascii="Arial Narrow" w:hAnsi="Arial Narrow"/>
                <w:b w:val="false"/>
                <w:i w:val="false"/>
                <w:sz w:val="22"/>
                <w:szCs w:val="22"/>
                <w:lang w:val="de-DE" w:eastAsia="zh-CN" w:bidi="hi-IN"/>
              </w:rPr>
            </w:pPr>
            <w:r>
              <w:rPr>
                <w:rFonts w:eastAsia="SimSun" w:cs="Arial Narrow" w:ascii="Arial Narrow" w:hAnsi="Arial Narrow"/>
                <w:b w:val="false"/>
                <w:i w:val="false"/>
                <w:sz w:val="22"/>
                <w:szCs w:val="22"/>
                <w:lang w:val="de-DE" w:eastAsia="zh-CN" w:bidi="hi-IN"/>
              </w:rPr>
              <w:t xml:space="preserve">Angaben zu einer Textquelle sind mindestens </w:t>
              <w:br/>
            </w:r>
            <w:r>
              <w:rPr>
                <w:rFonts w:eastAsia="SimSun" w:cs="Arial Narrow" w:ascii="Arial Narrow" w:hAnsi="Arial Narrow"/>
                <w:b w:val="false"/>
                <w:i w:val="false"/>
                <w:sz w:val="32"/>
                <w:szCs w:val="32"/>
                <w:lang w:val="de-DE" w:eastAsia="zh-CN" w:bidi="hi-IN"/>
              </w:rPr>
              <w:t>Verfasser: Titel. Ort Jahr</w:t>
              <w:br/>
            </w:r>
            <w:r>
              <w:rPr>
                <w:rFonts w:eastAsia="SimSun" w:cs="Arial Narrow" w:ascii="Arial Narrow" w:hAnsi="Arial Narrow"/>
                <w:b w:val="false"/>
                <w:i w:val="false"/>
                <w:sz w:val="22"/>
                <w:szCs w:val="22"/>
                <w:lang w:val="de-DE" w:eastAsia="zh-CN" w:bidi="hi-IN"/>
              </w:rPr>
              <w:br/>
              <w:t>Weitere Angaben werden i.d.R. mit einem Komma getrennt. Zum vollständigen Biblio</w:t>
              <w:softHyphen/>
              <w:t>grafieren zählen Untertitel, Auflage, Band</w:t>
              <w:softHyphen/>
              <w:t>nummer, Verlag, …</w:t>
              <w:br/>
              <w:br/>
              <w:t xml:space="preserve">Bei Büchern empfiehlt es sich, </w:t>
              <w:br/>
              <w:t xml:space="preserve">die </w:t>
            </w:r>
            <w:r>
              <w:rPr>
                <w:rFonts w:eastAsia="SimSun" w:cs="Arial Narrow" w:ascii="Arial Narrow" w:hAnsi="Arial Narrow"/>
                <w:b w:val="false"/>
                <w:i w:val="false"/>
                <w:color w:val="000080"/>
                <w:sz w:val="22"/>
                <w:szCs w:val="22"/>
                <w:lang w:val="de-DE" w:eastAsia="zh-CN" w:bidi="hi-IN"/>
              </w:rPr>
              <w:t>ISBN-Nummer</w:t>
            </w:r>
            <w:r>
              <w:rPr>
                <w:rFonts w:eastAsia="SimSun" w:cs="Arial Narrow" w:ascii="Arial Narrow" w:hAnsi="Arial Narrow"/>
                <w:b w:val="false"/>
                <w:i w:val="false"/>
                <w:sz w:val="22"/>
                <w:szCs w:val="22"/>
                <w:lang w:val="de-DE" w:eastAsia="zh-CN" w:bidi="hi-IN"/>
              </w:rPr>
              <w:t xml:space="preserve"> zu notieren!</w:t>
            </w:r>
          </w:p>
        </w:tc>
        <w:tc>
          <w:tcPr>
            <w:tcW w:w="5335" w:type="dxa"/>
            <w:tcBorders>
              <w:top w:val="nil"/>
              <w:left w:val="nil"/>
              <w:bottom w:val="nil"/>
              <w:insideH w:val="nil"/>
              <w:right w:val="nil"/>
              <w:insideV w:val="nil"/>
            </w:tcBorders>
            <w:shd w:fill="FFFFFF" w:val="clear"/>
          </w:tcPr>
          <w:p>
            <w:pPr>
              <w:pStyle w:val="Textkrpe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Untersuchungen „vor Ort“, an konkreten Objekten, Expeditionen oder Befragungen müssen mit Bild und Text so dokumentiert werden, dass die gewonnen Erkenntnisse jederzeit nachvoll</w:t>
              <w:softHyphen/>
              <w:t>ziehbar belegt sind. Bildunterschriften, Kommentare oder Gedächt</w:t>
              <w:softHyphen/>
              <w:t>nisprotokolle sollten mit einer themenorientierten Zusammenfassung begleitet werden, um sie später als Quellen mühelos in die Ausführungen einfügen zu können.</w:t>
            </w:r>
          </w:p>
          <w:p>
            <w:pPr>
              <w:pStyle w:val="Textkrper"/>
              <w:spacing w:lineRule="auto" w:line="288" w:before="0" w:after="113"/>
              <w:rPr>
                <w:rFonts w:eastAsia="SimSun" w:cs="Arial Narrow" w:ascii="Arial Narrow" w:hAnsi="Arial Narrow"/>
                <w:b w:val="false"/>
                <w:i w:val="false"/>
                <w:sz w:val="22"/>
                <w:szCs w:val="22"/>
                <w:lang w:val="de-DE" w:eastAsia="zh-CN" w:bidi="hi-IN"/>
              </w:rPr>
            </w:pPr>
            <w:r>
              <w:rPr>
                <w:rFonts w:eastAsia="SimSun" w:cs="Arial Narrow" w:ascii="Arial Narrow" w:hAnsi="Arial Narrow"/>
                <w:b w:val="false"/>
                <w:i w:val="false"/>
                <w:sz w:val="22"/>
                <w:szCs w:val="22"/>
                <w:lang w:val="de-DE" w:eastAsia="zh-CN" w:bidi="hi-IN"/>
              </w:rPr>
              <w:t xml:space="preserve">Für jede </w:t>
            </w:r>
            <w:r>
              <w:rPr>
                <w:rFonts w:eastAsia="SimSun" w:cs="Arial Narrow" w:ascii="Arial Narrow" w:hAnsi="Arial Narrow"/>
                <w:b w:val="false"/>
                <w:i w:val="false"/>
                <w:color w:val="000080"/>
                <w:sz w:val="22"/>
                <w:szCs w:val="22"/>
                <w:lang w:val="de-DE" w:eastAsia="zh-CN" w:bidi="hi-IN"/>
              </w:rPr>
              <w:t>Internet-</w:t>
            </w:r>
            <w:r>
              <w:rPr>
                <w:rFonts w:eastAsia="SimSun" w:cs="Arial Narrow" w:ascii="Arial Narrow" w:hAnsi="Arial Narrow"/>
                <w:b w:val="false"/>
                <w:i w:val="false"/>
                <w:sz w:val="22"/>
                <w:szCs w:val="22"/>
                <w:lang w:val="de-DE" w:eastAsia="zh-CN" w:bidi="hi-IN"/>
              </w:rPr>
              <w:t xml:space="preserve"> oder </w:t>
            </w:r>
            <w:r>
              <w:rPr>
                <w:rFonts w:eastAsia="SimSun" w:cs="Arial Narrow" w:ascii="Arial Narrow" w:hAnsi="Arial Narrow"/>
                <w:b w:val="false"/>
                <w:i w:val="false"/>
                <w:color w:val="000080"/>
                <w:sz w:val="22"/>
                <w:szCs w:val="22"/>
                <w:lang w:val="de-DE" w:eastAsia="zh-CN" w:bidi="hi-IN"/>
              </w:rPr>
              <w:t>Bibliotheksrecherche</w:t>
            </w:r>
            <w:r>
              <w:rPr>
                <w:rFonts w:eastAsia="SimSun" w:cs="Arial Narrow" w:ascii="Arial Narrow" w:hAnsi="Arial Narrow"/>
                <w:b w:val="false"/>
                <w:i w:val="false"/>
                <w:sz w:val="22"/>
                <w:szCs w:val="22"/>
                <w:lang w:val="de-DE" w:eastAsia="zh-CN" w:bidi="hi-IN"/>
              </w:rPr>
              <w:t xml:space="preserve"> legt man sich ein </w:t>
            </w:r>
            <w:r>
              <w:rPr>
                <w:rFonts w:eastAsia="SimSun" w:cs="Arial Narrow" w:ascii="Arial Narrow" w:hAnsi="Arial Narrow"/>
                <w:b w:val="false"/>
                <w:i w:val="false"/>
                <w:color w:val="000080"/>
                <w:sz w:val="22"/>
                <w:szCs w:val="22"/>
                <w:lang w:val="de-DE" w:eastAsia="zh-CN" w:bidi="hi-IN"/>
              </w:rPr>
              <w:t>Recherche</w:t>
              <w:softHyphen/>
              <w:t>protokoll</w:t>
            </w:r>
            <w:r>
              <w:rPr>
                <w:rFonts w:eastAsia="SimSun" w:cs="Arial Narrow" w:ascii="Arial Narrow" w:hAnsi="Arial Narrow"/>
                <w:b w:val="false"/>
                <w:i w:val="false"/>
                <w:sz w:val="22"/>
                <w:szCs w:val="22"/>
                <w:lang w:val="de-DE" w:eastAsia="zh-CN" w:bidi="hi-IN"/>
              </w:rPr>
              <w:t xml:space="preserve"> an und fertigt geeignete Kopien an – abzulegen in einem </w:t>
            </w:r>
            <w:r>
              <w:rPr>
                <w:rFonts w:eastAsia="SimSun" w:cs="Arial Narrow" w:ascii="Arial Narrow" w:hAnsi="Arial Narrow"/>
                <w:b w:val="false"/>
                <w:i w:val="false"/>
                <w:color w:val="000080"/>
                <w:sz w:val="22"/>
                <w:szCs w:val="22"/>
                <w:lang w:val="de-DE" w:eastAsia="zh-CN" w:bidi="hi-IN"/>
              </w:rPr>
              <w:t>Arbeits</w:t>
              <w:softHyphen/>
              <w:t>ordner</w:t>
            </w:r>
            <w:r>
              <w:rPr>
                <w:rFonts w:eastAsia="SimSun" w:cs="Arial Narrow" w:ascii="Arial Narrow" w:hAnsi="Arial Narrow"/>
                <w:b w:val="false"/>
                <w:i w:val="false"/>
                <w:sz w:val="22"/>
                <w:szCs w:val="22"/>
                <w:lang w:val="de-DE" w:eastAsia="zh-CN" w:bidi="hi-IN"/>
              </w:rPr>
              <w:t>. Protokolle, eigene Aufzeich</w:t>
              <w:softHyphen/>
              <w:t xml:space="preserve">nungen o. Ä. werden ebenso im </w:t>
            </w:r>
            <w:r>
              <w:rPr>
                <w:rFonts w:eastAsia="SimSun" w:cs="Arial Narrow" w:ascii="Arial Narrow" w:hAnsi="Arial Narrow"/>
                <w:b w:val="false"/>
                <w:i w:val="false"/>
                <w:color w:val="000080"/>
                <w:sz w:val="22"/>
                <w:szCs w:val="22"/>
                <w:lang w:val="de-DE" w:eastAsia="zh-CN" w:bidi="hi-IN"/>
              </w:rPr>
              <w:t>Arbeitsordner</w:t>
            </w:r>
            <w:r>
              <w:rPr>
                <w:rFonts w:eastAsia="SimSun" w:cs="Arial Narrow" w:ascii="Arial Narrow" w:hAnsi="Arial Narrow"/>
                <w:b w:val="false"/>
                <w:i w:val="false"/>
                <w:sz w:val="22"/>
                <w:szCs w:val="22"/>
                <w:lang w:val="de-DE" w:eastAsia="zh-CN" w:bidi="hi-IN"/>
              </w:rPr>
              <w:t xml:space="preserve"> gesichert.</w:t>
            </w:r>
          </w:p>
        </w:tc>
      </w:tr>
    </w:tbl>
    <w:p>
      <w:pPr>
        <w:pStyle w:val="Textkrper"/>
        <w:spacing w:lineRule="auto" w:line="288" w:before="170" w:after="0"/>
        <w:rPr>
          <w:rFonts w:cs="Arial Narrow" w:ascii="Arial Narrow" w:hAnsi="Arial Narrow"/>
          <w:sz w:val="22"/>
          <w:szCs w:val="22"/>
        </w:rPr>
      </w:pPr>
      <w:r>
        <w:rPr>
          <w:rFonts w:cs="Arial Narrow" w:ascii="Arial Narrow" w:hAnsi="Arial Narrow"/>
          <w:sz w:val="22"/>
          <w:szCs w:val="22"/>
        </w:rPr>
      </w:r>
    </w:p>
    <w:tbl>
      <w:tblPr>
        <w:jc w:val="left"/>
        <w:tblInd w:w="57" w:type="dxa"/>
        <w:tblBorders>
          <w:top w:val="nil"/>
          <w:left w:val="nil"/>
          <w:bottom w:val="nil"/>
          <w:insideH w:val="nil"/>
          <w:right w:val="nil"/>
          <w:insideV w:val="nil"/>
        </w:tblBorders>
        <w:tblCellMar>
          <w:top w:w="57" w:type="dxa"/>
          <w:left w:w="57" w:type="dxa"/>
          <w:bottom w:w="57" w:type="dxa"/>
          <w:right w:w="57" w:type="dxa"/>
        </w:tblCellMar>
      </w:tblPr>
      <w:tblGrid>
        <w:gridCol w:w="2717"/>
        <w:gridCol w:w="3969"/>
        <w:gridCol w:w="3568"/>
        <w:gridCol w:w="4315"/>
      </w:tblGrid>
      <w:tr>
        <w:trPr>
          <w:cantSplit w:val="false"/>
        </w:trPr>
        <w:tc>
          <w:tcPr>
            <w:tcW w:w="2717" w:type="dxa"/>
            <w:tcBorders>
              <w:top w:val="nil"/>
              <w:left w:val="nil"/>
              <w:bottom w:val="nil"/>
              <w:insideH w:val="nil"/>
              <w:right w:val="nil"/>
              <w:insideV w:val="nil"/>
            </w:tcBorders>
            <w:shd w:fill="FFFFFF" w:val="clear"/>
          </w:tcPr>
          <w:p>
            <w:pPr>
              <w:pStyle w:val="Berschrift1"/>
              <w:pageBreakBefore/>
              <w:spacing w:lineRule="auto" w:line="288" w:before="0" w:after="113"/>
              <w:rPr>
                <w:rFonts w:cs="Arial Narrow" w:ascii="Arial Narrow" w:hAnsi="Arial Narrow"/>
                <w:b w:val="false"/>
                <w:i w:val="false"/>
                <w:sz w:val="32"/>
                <w:szCs w:val="32"/>
              </w:rPr>
            </w:pPr>
            <w:r>
              <w:rPr>
                <w:rFonts w:cs="Arial Narrow" w:ascii="Arial Narrow" w:hAnsi="Arial Narrow"/>
                <w:b w:val="false"/>
                <w:i w:val="false"/>
                <w:sz w:val="32"/>
                <w:szCs w:val="32"/>
              </w:rPr>
              <w:t>Internetrecherche</w:t>
            </w:r>
          </w:p>
          <w:p>
            <w:pPr>
              <w:pStyle w:val="Textkrpe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Heute sind im Internet unzählige Informationen einfach und kom</w:t>
              <w:softHyphen/>
              <w:t>for</w:t>
              <w:softHyphen/>
              <w:t>tabel zugänglich, was Vorteile und Nachteile bringt:</w:t>
              <w:br/>
              <w:t>Die Informationen sind vielfältig und weltweit verbreitet, jederzeit und selbstbestimmt verfügbar. Sie erscheinen aber eher ver</w:t>
              <w:softHyphen/>
              <w:t>wirrend als strukturiert und ihre Wahrheit ist kaum garantiert. Alle können sich im Internet nach Belieben äußern und haben selbst die Verantwortung für eingestellte Inhalte.</w:t>
            </w:r>
          </w:p>
          <w:p>
            <w:pPr>
              <w:pStyle w:val="Textkrpe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 xml:space="preserve">Quellen aus dem Internet müssen daher geprüft werden, </w:t>
              <w:br/>
              <w:t xml:space="preserve">vor allem für </w:t>
            </w:r>
            <w:r>
              <w:rPr>
                <w:rFonts w:cs="Arial Narrow" w:ascii="Arial Narrow" w:hAnsi="Arial Narrow"/>
                <w:b w:val="false"/>
                <w:i w:val="false"/>
                <w:color w:val="000080"/>
                <w:sz w:val="22"/>
                <w:szCs w:val="22"/>
              </w:rPr>
              <w:t>wissenschaftliche Arbeiten</w:t>
            </w:r>
            <w:r>
              <w:rPr>
                <w:rFonts w:cs="Arial Narrow" w:ascii="Arial Narrow" w:hAnsi="Arial Narrow"/>
                <w:b w:val="false"/>
                <w:i w:val="false"/>
                <w:sz w:val="22"/>
                <w:szCs w:val="22"/>
              </w:rPr>
              <w:t xml:space="preserve">. </w:t>
            </w:r>
          </w:p>
        </w:tc>
        <w:tc>
          <w:tcPr>
            <w:tcW w:w="3969" w:type="dxa"/>
            <w:tcBorders>
              <w:top w:val="nil"/>
              <w:left w:val="nil"/>
              <w:bottom w:val="nil"/>
              <w:insideH w:val="nil"/>
              <w:right w:val="nil"/>
              <w:insideV w:val="nil"/>
            </w:tcBorders>
            <w:shd w:fill="FFFFFF" w:val="clear"/>
          </w:tcPr>
          <w:p>
            <w:pPr>
              <w:pStyle w:val="TabellenInhalt"/>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1. SUCHEN</w:t>
            </w:r>
          </w:p>
          <w:p>
            <w:pPr>
              <w:pStyle w:val="TabellenInhalt"/>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Vorüberlegungen, Suchmaschinen mit erweiterten Einstellungen testen, Alternativen zum Internet ergründen</w:t>
            </w:r>
          </w:p>
          <w:p>
            <w:pPr>
              <w:pStyle w:val="TabellenInhalt"/>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 xml:space="preserve">Fragestellung exakt ausformulieren und </w:t>
              <w:br/>
              <w:t>daraus Suchwörter und Suchwort-Verbindungen zusammenstellen</w:t>
              <w:br/>
            </w:r>
            <w:r>
              <w:rPr>
                <w:rFonts w:cs="Arial Narrow" w:ascii="Arial Narrow" w:hAnsi="Arial Narrow"/>
                <w:sz w:val="22"/>
                <w:szCs w:val="22"/>
              </w:rPr>
              <w:t xml:space="preserve">     AUSPROBIEREN …</w:t>
              <w:br/>
              <w:t xml:space="preserve">     Suchwörter und ggf. Fragestellung variieren</w:t>
              <w:br/>
              <w:t xml:space="preserve">     Eintragungen ins Rechercheprotokoll</w:t>
              <w:br/>
              <w:t xml:space="preserve">     Zeitlimit festlegen</w:t>
            </w:r>
            <w:r>
              <w:rPr>
                <w:rFonts w:cs="Arial Narrow" w:ascii="Arial Narrow" w:hAnsi="Arial Narrow"/>
                <w:b w:val="false"/>
                <w:i w:val="false"/>
                <w:sz w:val="22"/>
                <w:szCs w:val="22"/>
              </w:rPr>
              <w:br/>
              <w:br/>
              <w:t>2. FINDEN</w:t>
            </w:r>
          </w:p>
          <w:p>
            <w:pPr>
              <w:pStyle w:val="TabellenInhalt"/>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eigtl. Recherche durchführen, Auswahl treffen</w:t>
              <w:br/>
              <w:t>Notizen zur Quellenkritik bzw. Plausibilität untersuchen, Seiteninformationen zusammen</w:t>
              <w:softHyphen/>
              <w:t xml:space="preserve">stellen, Verfasser, Herausgeber … </w:t>
              <w:br/>
              <w:t>(auch für Lexika oder Wikis)</w:t>
              <w:br/>
              <w:br/>
              <w:t>3. SICHERN</w:t>
            </w:r>
          </w:p>
          <w:p>
            <w:pPr>
              <w:pStyle w:val="TabellenInhalt"/>
              <w:spacing w:lineRule="auto" w:line="288" w:before="0" w:after="113"/>
              <w:rPr>
                <w:rFonts w:cs="Arial Narrow" w:ascii="Arial Narrow" w:hAnsi="Arial Narrow"/>
                <w:b w:val="false"/>
                <w:i w:val="false"/>
                <w:sz w:val="22"/>
                <w:szCs w:val="22"/>
              </w:rPr>
            </w:pPr>
            <w:r>
              <w:rPr>
                <w:rFonts w:eastAsia="Arial Narrow" w:cs="Arial Narrow" w:ascii="Arial Narrow" w:hAnsi="Arial Narrow"/>
                <w:b w:val="false"/>
                <w:i w:val="false"/>
                <w:sz w:val="22"/>
                <w:szCs w:val="22"/>
              </w:rPr>
              <w:t xml:space="preserve">… </w:t>
            </w:r>
            <w:r>
              <w:rPr>
                <w:rFonts w:cs="Arial Narrow" w:ascii="Arial Narrow" w:hAnsi="Arial Narrow"/>
                <w:b w:val="false"/>
                <w:i w:val="false"/>
                <w:sz w:val="22"/>
                <w:szCs w:val="22"/>
              </w:rPr>
              <w:t>mit einem Bildschirmfoto (Screenshot)</w:t>
            </w:r>
          </w:p>
          <w:p>
            <w:pPr>
              <w:pStyle w:val="Textkrpe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Name, Vorname: Titel. Jahr, Aus: http://… .html, Datum, vgl. Abb. X, S. Y</w:t>
            </w:r>
          </w:p>
        </w:tc>
        <w:tc>
          <w:tcPr>
            <w:tcW w:w="3568" w:type="dxa"/>
            <w:tcBorders>
              <w:top w:val="nil"/>
              <w:left w:val="single" w:sz="2" w:space="0" w:color="000001"/>
              <w:bottom w:val="nil"/>
              <w:insideH w:val="nil"/>
              <w:right w:val="nil"/>
              <w:insideV w:val="nil"/>
            </w:tcBorders>
            <w:shd w:fill="FFFFFF" w:val="clear"/>
            <w:tcMar>
              <w:left w:w="44" w:type="dxa"/>
            </w:tcMar>
          </w:tcPr>
          <w:p>
            <w:pPr>
              <w:pStyle w:val="Berschrift1"/>
              <w:spacing w:lineRule="auto" w:line="288" w:before="0" w:after="113"/>
              <w:rPr>
                <w:rFonts w:cs="Arial Narrow" w:ascii="Arial Narrow" w:hAnsi="Arial Narrow"/>
                <w:b w:val="false"/>
                <w:i w:val="false"/>
                <w:sz w:val="32"/>
                <w:szCs w:val="32"/>
              </w:rPr>
            </w:pPr>
            <w:r>
              <w:rPr>
                <w:rFonts w:cs="Arial Narrow" w:ascii="Arial Narrow" w:hAnsi="Arial Narrow"/>
                <w:b w:val="false"/>
                <w:i w:val="false"/>
                <w:sz w:val="32"/>
                <w:szCs w:val="32"/>
              </w:rPr>
              <w:t>Bibliotheksrecherche</w:t>
            </w:r>
          </w:p>
          <w:p>
            <w:pPr>
              <w:pStyle w:val="Textkrpe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Die riesigen Bestände von Biblio</w:t>
              <w:softHyphen/>
              <w:t xml:space="preserve">theken sind heute bequem über Online-Kataloge wie </w:t>
            </w:r>
            <w:hyperlink r:id="rId3">
              <w:r>
                <w:rPr>
                  <w:rStyle w:val="Internetlink"/>
                  <w:rFonts w:cs="Arial Narrow" w:ascii="Arial Narrow" w:hAnsi="Arial Narrow"/>
                  <w:b w:val="false"/>
                  <w:i w:val="false"/>
                  <w:sz w:val="22"/>
                  <w:szCs w:val="22"/>
                </w:rPr>
                <w:t>OPAC</w:t>
              </w:r>
            </w:hyperlink>
            <w:r>
              <w:rPr>
                <w:rFonts w:cs="Arial Narrow" w:ascii="Arial Narrow" w:hAnsi="Arial Narrow"/>
                <w:b w:val="false"/>
                <w:i w:val="false"/>
                <w:sz w:val="22"/>
                <w:szCs w:val="22"/>
              </w:rPr>
              <w:t xml:space="preserve"> oder den Katalog der </w:t>
            </w:r>
            <w:hyperlink r:id="rId4">
              <w:r>
                <w:rPr>
                  <w:rStyle w:val="Internetlink"/>
                  <w:rFonts w:cs="Arial Narrow" w:ascii="Arial Narrow" w:hAnsi="Arial Narrow"/>
                  <w:b w:val="false"/>
                  <w:i w:val="false"/>
                  <w:sz w:val="22"/>
                  <w:szCs w:val="22"/>
                </w:rPr>
                <w:t>Deut</w:t>
                <w:softHyphen/>
                <w:t>schen Natio</w:t>
                <w:softHyphen/>
                <w:t>nalbibliothek</w:t>
              </w:r>
            </w:hyperlink>
            <w:r>
              <w:rPr>
                <w:rFonts w:cs="Arial Narrow" w:ascii="Arial Narrow" w:hAnsi="Arial Narrow"/>
                <w:b w:val="false"/>
                <w:i w:val="false"/>
                <w:sz w:val="22"/>
                <w:szCs w:val="22"/>
              </w:rPr>
              <w:t xml:space="preserve"> zu erreichen – aber nicht alle. Manchmal muss man mit den Abertausend kleinen </w:t>
            </w:r>
            <w:hyperlink r:id="rId5">
              <w:r>
                <w:rPr>
                  <w:rStyle w:val="Internetlink"/>
                  <w:rFonts w:cs="Arial Narrow" w:ascii="Arial Narrow" w:hAnsi="Arial Narrow"/>
                  <w:b w:val="false"/>
                  <w:i w:val="false"/>
                  <w:sz w:val="22"/>
                  <w:szCs w:val="22"/>
                </w:rPr>
                <w:t>Zetteln</w:t>
              </w:r>
            </w:hyperlink>
            <w:r>
              <w:rPr>
                <w:rFonts w:cs="Arial Narrow" w:ascii="Arial Narrow" w:hAnsi="Arial Narrow"/>
                <w:b w:val="false"/>
                <w:i w:val="false"/>
                <w:sz w:val="22"/>
                <w:szCs w:val="22"/>
              </w:rPr>
              <w:t xml:space="preserve"> in Schlagwort- oder Systematischen Kata</w:t>
              <w:softHyphen/>
              <w:t>logen arbeiten. Weiterhin gibt es thema</w:t>
              <w:softHyphen/>
              <w:t xml:space="preserve">tisch zusammengestellte </w:t>
            </w:r>
            <w:hyperlink r:id="rId6">
              <w:r>
                <w:rPr>
                  <w:rStyle w:val="Internetlink"/>
                  <w:rFonts w:cs="Arial Narrow" w:ascii="Arial Narrow" w:hAnsi="Arial Narrow"/>
                  <w:b w:val="false"/>
                  <w:i w:val="false"/>
                  <w:sz w:val="22"/>
                  <w:szCs w:val="22"/>
                </w:rPr>
                <w:t>Bibliografien</w:t>
              </w:r>
            </w:hyperlink>
            <w:r>
              <w:rPr>
                <w:rStyle w:val="Internetlink"/>
                <w:rFonts w:cs="Arial Narrow" w:ascii="Arial Narrow" w:hAnsi="Arial Narrow"/>
                <w:b w:val="false"/>
                <w:i w:val="false"/>
                <w:sz w:val="22"/>
                <w:szCs w:val="22"/>
              </w:rPr>
              <w:t>,</w:t>
            </w:r>
            <w:r>
              <w:rPr>
                <w:rFonts w:cs="Arial Narrow" w:ascii="Arial Narrow" w:hAnsi="Arial Narrow"/>
                <w:b w:val="false"/>
                <w:i w:val="false"/>
                <w:sz w:val="22"/>
                <w:szCs w:val="22"/>
              </w:rPr>
              <w:t xml:space="preserve"> wo bereits Arbeit in eine Bibliotheksrecherche</w:t>
              <w:br/>
              <w:t>investiert wurde.</w:t>
            </w:r>
          </w:p>
          <w:p>
            <w:pPr>
              <w:pStyle w:val="Textkrpe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Hat man den Eintrag eines relevan</w:t>
              <w:softHyphen/>
              <w:t>ten Buches gefunden, dann:</w:t>
              <w:br/>
              <w:t>– kann es im Freihandbereich sofort</w:t>
              <w:br/>
              <w:t xml:space="preserve">   entnommen werden,</w:t>
              <w:br/>
              <w:t>– oder es steht im Magazin und</w:t>
              <w:br/>
              <w:t xml:space="preserve">  muss geholt werden,</w:t>
              <w:br/>
              <w:t>– oder es ist als Präsenzexemplar</w:t>
              <w:br/>
              <w:t xml:space="preserve">  nur vor Ort einsehbar,</w:t>
              <w:br/>
              <w:t xml:space="preserve">– oder es ist nur </w:t>
              <w:br/>
              <w:t xml:space="preserve">  über Fernleihe verfügbar,</w:t>
              <w:br/>
              <w:t>– oder es ist derzeit ausgeliehen</w:t>
              <w:br/>
              <w:t xml:space="preserve">   und muss vorbestellt werden.</w:t>
              <w:br/>
              <w:t xml:space="preserve">  …</w:t>
            </w:r>
          </w:p>
        </w:tc>
        <w:tc>
          <w:tcPr>
            <w:tcW w:w="4315" w:type="dxa"/>
            <w:tcBorders>
              <w:top w:val="nil"/>
              <w:left w:val="nil"/>
              <w:bottom w:val="nil"/>
              <w:insideH w:val="nil"/>
              <w:right w:val="nil"/>
              <w:insideV w:val="nil"/>
            </w:tcBorders>
            <w:shd w:fill="FFFFFF" w:val="clear"/>
          </w:tcPr>
          <w:p>
            <w:pPr>
              <w:pStyle w:val="TabellenInhalt"/>
              <w:shd w:fill="FFFFFF" w:val="clea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1. SUCHEN</w:t>
            </w:r>
          </w:p>
          <w:p>
            <w:pPr>
              <w:pStyle w:val="TabellenInhalt"/>
              <w:shd w:fill="FFFFFF" w:val="clea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Vorüberlegungen, in Bibiotheken vor Ort orientieren</w:t>
              <w:br/>
              <w:t>Katalogarbeit online aufsuchen</w:t>
              <w:br/>
              <w:t>Suchwörter und Suchwort-Verbindungen zusammenstellen</w:t>
              <w:br/>
            </w:r>
            <w:r>
              <w:rPr>
                <w:rFonts w:cs="Arial Narrow" w:ascii="Arial Narrow" w:hAnsi="Arial Narrow"/>
                <w:b w:val="false"/>
                <w:i w:val="false"/>
                <w:color w:val="000080"/>
                <w:sz w:val="22"/>
                <w:szCs w:val="22"/>
              </w:rPr>
              <w:t>Rechercheprotokoll</w:t>
            </w:r>
            <w:r>
              <w:rPr>
                <w:rFonts w:cs="Arial Narrow" w:ascii="Arial Narrow" w:hAnsi="Arial Narrow"/>
                <w:b w:val="false"/>
                <w:i w:val="false"/>
                <w:sz w:val="22"/>
                <w:szCs w:val="22"/>
              </w:rPr>
              <w:t xml:space="preserve"> erstellen und führen</w:t>
              <w:br/>
              <w:t>Lokaltermin festlegen und Katalogarbeit vor Ort</w:t>
              <w:br/>
              <w:br/>
              <w:t>2. FINDEN</w:t>
            </w:r>
          </w:p>
          <w:p>
            <w:pPr>
              <w:pStyle w:val="TabellenInhalt"/>
              <w:shd w:fill="FFFFFF" w:val="clea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Mit Signaturnummer den Standort aufsuchen,</w:t>
              <w:br/>
              <w:t>Buch entnehmen, Probelesen, vorl. Quellenkritik, …</w:t>
              <w:br/>
              <w:t>falls nicht interessant, dann zurückstellen lassen</w:t>
              <w:br/>
              <w:t>falls interessant, Seite mit bibliografischen Angaben kopieren, Seriösität von Verfassern, Herausgeber … untersuchen und Notizen zur Quellenkritik</w:t>
              <w:br/>
              <w:br/>
              <w:t>3. SICHERN</w:t>
            </w:r>
          </w:p>
          <w:p>
            <w:pPr>
              <w:pStyle w:val="TabellenInhalt"/>
              <w:shd w:fill="FFFFFF" w:val="clear"/>
              <w:spacing w:lineRule="auto" w:line="288" w:before="0" w:after="113"/>
              <w:rPr>
                <w:rFonts w:cs="Arial Narrow" w:ascii="Arial Narrow" w:hAnsi="Arial Narrow"/>
                <w:b w:val="false"/>
                <w:i w:val="false"/>
                <w:sz w:val="22"/>
                <w:szCs w:val="22"/>
              </w:rPr>
            </w:pPr>
            <w:r>
              <w:rPr>
                <w:rFonts w:cs="Arial Narrow" w:ascii="Arial Narrow" w:hAnsi="Arial Narrow"/>
                <w:b w:val="false"/>
                <w:i w:val="false"/>
                <w:color w:val="000080"/>
                <w:sz w:val="22"/>
                <w:szCs w:val="22"/>
              </w:rPr>
              <w:t>Quellenangaben</w:t>
            </w:r>
            <w:r>
              <w:rPr>
                <w:rFonts w:cs="Arial Narrow" w:ascii="Arial Narrow" w:hAnsi="Arial Narrow"/>
                <w:b w:val="false"/>
                <w:i w:val="false"/>
                <w:sz w:val="22"/>
                <w:szCs w:val="22"/>
              </w:rPr>
              <w:t xml:space="preserve"> (Bibliothek und Signaturnummer!):</w:t>
              <w:br/>
              <w:t>Verfasser: Titel. Ort Jahr, S. …</w:t>
            </w:r>
          </w:p>
          <w:p>
            <w:pPr>
              <w:pStyle w:val="TabellenInhalt"/>
              <w:shd w:fill="FFFFFF" w:val="clear"/>
              <w:spacing w:lineRule="auto" w:line="288" w:before="0" w:after="113"/>
              <w:rPr>
                <w:rFonts w:cs="Arial Narrow" w:ascii="Arial Narrow" w:hAnsi="Arial Narrow"/>
                <w:b w:val="false"/>
                <w:i w:val="false"/>
                <w:color w:val="000080"/>
                <w:sz w:val="22"/>
                <w:szCs w:val="22"/>
              </w:rPr>
            </w:pPr>
            <w:r>
              <w:rPr>
                <w:rFonts w:cs="Arial Narrow" w:ascii="Arial Narrow" w:hAnsi="Arial Narrow"/>
                <w:b w:val="false"/>
                <w:i w:val="false"/>
                <w:sz w:val="22"/>
                <w:szCs w:val="22"/>
              </w:rPr>
              <w:t xml:space="preserve">Eintrag ins </w:t>
            </w:r>
            <w:r>
              <w:rPr>
                <w:rFonts w:cs="Arial Narrow" w:ascii="Arial Narrow" w:hAnsi="Arial Narrow"/>
                <w:b w:val="false"/>
                <w:i w:val="false"/>
                <w:color w:val="000080"/>
                <w:sz w:val="22"/>
                <w:szCs w:val="22"/>
              </w:rPr>
              <w:t>Rechercheprotokoll</w:t>
            </w:r>
          </w:p>
          <w:p>
            <w:pPr>
              <w:pStyle w:val="TabellenInhalt"/>
              <w:shd w:fill="FFFFFF" w:val="clear"/>
              <w:spacing w:lineRule="auto" w:line="288" w:before="0" w:after="113"/>
              <w:rPr>
                <w:rFonts w:cs="Arial Narrow" w:ascii="Arial Narrow" w:hAnsi="Arial Narrow"/>
                <w:sz w:val="22"/>
                <w:szCs w:val="22"/>
              </w:rPr>
            </w:pPr>
            <w:r>
              <w:rPr>
                <w:rFonts w:cs="Arial Narrow" w:ascii="Arial Narrow" w:hAnsi="Arial Narrow"/>
                <w:sz w:val="22"/>
                <w:szCs w:val="22"/>
              </w:rPr>
            </w:r>
          </w:p>
          <w:p>
            <w:pPr>
              <w:pStyle w:val="TabellenInhalt"/>
              <w:shd w:fill="FFFFFF" w:val="clea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 xml:space="preserve">Um ein Buch unkompliziert immer wieder zu finden, </w:t>
              <w:br/>
              <w:t xml:space="preserve">sollte zusätzlich die </w:t>
            </w:r>
            <w:r>
              <w:rPr>
                <w:rFonts w:cs="Arial Narrow" w:ascii="Arial Narrow" w:hAnsi="Arial Narrow"/>
                <w:b w:val="false"/>
                <w:i w:val="false"/>
                <w:color w:val="000080"/>
                <w:sz w:val="22"/>
                <w:szCs w:val="22"/>
              </w:rPr>
              <w:t>ISBN-Nummer</w:t>
            </w:r>
            <w:r>
              <w:rPr>
                <w:rFonts w:cs="Arial Narrow" w:ascii="Arial Narrow" w:hAnsi="Arial Narrow"/>
                <w:b w:val="false"/>
                <w:i w:val="false"/>
                <w:sz w:val="22"/>
                <w:szCs w:val="22"/>
              </w:rPr>
              <w:t xml:space="preserve"> notiert werden.</w:t>
            </w:r>
          </w:p>
        </w:tc>
      </w:tr>
      <w:tr>
        <w:trPr>
          <w:cantSplit w:val="false"/>
        </w:trPr>
        <w:tc>
          <w:tcPr>
            <w:tcW w:w="2717" w:type="dxa"/>
            <w:tcBorders>
              <w:top w:val="nil"/>
              <w:left w:val="nil"/>
              <w:bottom w:val="nil"/>
              <w:insideH w:val="nil"/>
              <w:right w:val="nil"/>
              <w:insideV w:val="nil"/>
            </w:tcBorders>
            <w:shd w:fill="FFFFFF" w:val="clear"/>
            <w:tcMar>
              <w:top w:w="0" w:type="dxa"/>
              <w:left w:w="0" w:type="dxa"/>
              <w:bottom w:w="0" w:type="dxa"/>
              <w:right w:w="0" w:type="dxa"/>
            </w:tcMar>
          </w:tcPr>
          <w:p>
            <w:pPr>
              <w:pStyle w:val="Berschrift1"/>
              <w:spacing w:lineRule="auto" w:line="288" w:before="0" w:after="113"/>
              <w:rPr>
                <w:rFonts w:cs="Arial Narrow" w:ascii="Arial Narrow" w:hAnsi="Arial Narrow"/>
                <w:b w:val="false"/>
                <w:i w:val="false"/>
                <w:sz w:val="4"/>
                <w:szCs w:val="4"/>
              </w:rPr>
            </w:pPr>
            <w:r>
              <w:rPr>
                <w:rFonts w:cs="Arial Narrow" w:ascii="Arial Narrow" w:hAnsi="Arial Narrow"/>
                <w:b w:val="false"/>
                <w:i w:val="false"/>
                <w:sz w:val="4"/>
                <w:szCs w:val="4"/>
              </w:rPr>
            </w:r>
          </w:p>
        </w:tc>
        <w:tc>
          <w:tcPr>
            <w:tcW w:w="3969" w:type="dxa"/>
            <w:tcBorders>
              <w:top w:val="nil"/>
              <w:left w:val="nil"/>
              <w:bottom w:val="nil"/>
              <w:insideH w:val="nil"/>
              <w:right w:val="nil"/>
              <w:insideV w:val="nil"/>
            </w:tcBorders>
            <w:shd w:fill="FFFFFF" w:val="clear"/>
            <w:tcMar>
              <w:top w:w="0" w:type="dxa"/>
              <w:left w:w="0" w:type="dxa"/>
              <w:bottom w:w="0" w:type="dxa"/>
              <w:right w:w="0" w:type="dxa"/>
            </w:tcMar>
          </w:tcPr>
          <w:p>
            <w:pPr>
              <w:pStyle w:val="TabellenInhalt"/>
              <w:spacing w:lineRule="auto" w:line="288" w:before="0" w:after="113"/>
              <w:rPr>
                <w:rFonts w:cs="Arial Narrow" w:ascii="Arial Narrow" w:hAnsi="Arial Narrow"/>
                <w:b w:val="false"/>
                <w:i w:val="false"/>
                <w:sz w:val="4"/>
                <w:szCs w:val="4"/>
              </w:rPr>
            </w:pPr>
            <w:r>
              <w:rPr>
                <w:rFonts w:cs="Arial Narrow" w:ascii="Arial Narrow" w:hAnsi="Arial Narrow"/>
                <w:b w:val="false"/>
                <w:i w:val="false"/>
                <w:sz w:val="4"/>
                <w:szCs w:val="4"/>
              </w:rPr>
            </w:r>
          </w:p>
        </w:tc>
        <w:tc>
          <w:tcPr>
            <w:tcW w:w="3568" w:type="dxa"/>
            <w:tcBorders>
              <w:top w:val="nil"/>
              <w:left w:val="nil"/>
              <w:bottom w:val="nil"/>
              <w:insideH w:val="nil"/>
              <w:right w:val="nil"/>
              <w:insideV w:val="nil"/>
            </w:tcBorders>
            <w:shd w:fill="FFFFFF" w:val="clear"/>
            <w:tcMar>
              <w:top w:w="0" w:type="dxa"/>
              <w:left w:w="0" w:type="dxa"/>
              <w:bottom w:w="0" w:type="dxa"/>
              <w:right w:w="0" w:type="dxa"/>
            </w:tcMar>
          </w:tcPr>
          <w:p>
            <w:pPr>
              <w:pStyle w:val="Berschrift1"/>
              <w:spacing w:lineRule="auto" w:line="288" w:before="0" w:after="113"/>
              <w:rPr>
                <w:rFonts w:cs="Arial Narrow" w:ascii="Arial Narrow" w:hAnsi="Arial Narrow"/>
                <w:b w:val="false"/>
                <w:i w:val="false"/>
                <w:sz w:val="4"/>
                <w:szCs w:val="4"/>
              </w:rPr>
            </w:pPr>
            <w:r>
              <w:rPr>
                <w:rFonts w:cs="Arial Narrow" w:ascii="Arial Narrow" w:hAnsi="Arial Narrow"/>
                <w:b w:val="false"/>
                <w:i w:val="false"/>
                <w:sz w:val="4"/>
                <w:szCs w:val="4"/>
              </w:rPr>
            </w:r>
          </w:p>
        </w:tc>
        <w:tc>
          <w:tcPr>
            <w:tcW w:w="4315" w:type="dxa"/>
            <w:tcBorders>
              <w:top w:val="nil"/>
              <w:left w:val="nil"/>
              <w:bottom w:val="nil"/>
              <w:insideH w:val="nil"/>
              <w:right w:val="nil"/>
              <w:insideV w:val="nil"/>
            </w:tcBorders>
            <w:shd w:fill="FFFFFF" w:val="clear"/>
            <w:tcMar>
              <w:top w:w="0" w:type="dxa"/>
              <w:left w:w="0" w:type="dxa"/>
              <w:bottom w:w="0" w:type="dxa"/>
              <w:right w:w="0" w:type="dxa"/>
            </w:tcMar>
          </w:tcPr>
          <w:p>
            <w:pPr>
              <w:pStyle w:val="TabellenInhalt"/>
              <w:shd w:fill="FFFFFF" w:val="clear"/>
              <w:spacing w:lineRule="auto" w:line="288" w:before="0" w:after="113"/>
              <w:rPr>
                <w:rFonts w:cs="Arial Narrow" w:ascii="Arial Narrow" w:hAnsi="Arial Narrow"/>
                <w:b w:val="false"/>
                <w:i w:val="false"/>
                <w:sz w:val="4"/>
                <w:szCs w:val="4"/>
              </w:rPr>
            </w:pPr>
            <w:r>
              <w:rPr>
                <w:rFonts w:cs="Arial Narrow" w:ascii="Arial Narrow" w:hAnsi="Arial Narrow"/>
                <w:b w:val="false"/>
                <w:i w:val="false"/>
                <w:sz w:val="4"/>
                <w:szCs w:val="4"/>
              </w:rPr>
            </w:r>
          </w:p>
        </w:tc>
      </w:tr>
      <w:tr>
        <w:trPr>
          <w:cantSplit w:val="false"/>
        </w:trPr>
        <w:tc>
          <w:tcPr>
            <w:tcW w:w="2717" w:type="dxa"/>
            <w:tcBorders>
              <w:top w:val="nil"/>
              <w:left w:val="nil"/>
              <w:bottom w:val="nil"/>
              <w:insideH w:val="nil"/>
              <w:right w:val="nil"/>
              <w:insideV w:val="nil"/>
            </w:tcBorders>
            <w:shd w:fill="FFFFFF" w:val="clear"/>
          </w:tcPr>
          <w:p>
            <w:pPr>
              <w:pStyle w:val="Textkrper"/>
              <w:spacing w:lineRule="auto" w:line="288" w:before="0" w:after="113"/>
              <w:rPr>
                <w:rFonts w:cs="Arial Narrow" w:ascii="Arial Narrow" w:hAnsi="Arial Narrow"/>
                <w:b w:val="false"/>
                <w:i w:val="false"/>
                <w:sz w:val="22"/>
                <w:szCs w:val="22"/>
              </w:rPr>
            </w:pPr>
            <w:r>
              <w:rPr>
                <w:rFonts w:cs="Arial Narrow" w:ascii="Arial Narrow" w:hAnsi="Arial Narrow"/>
                <w:b w:val="false"/>
                <w:i w:val="false"/>
                <w:sz w:val="22"/>
                <w:szCs w:val="22"/>
              </w:rPr>
              <w:t xml:space="preserve">Wenn die Themenbearbeitung beendet ist, sind alle Quellen mit einer vorschriftsmäßigen </w:t>
            </w:r>
            <w:r>
              <w:rPr>
                <w:rFonts w:cs="Arial Narrow" w:ascii="Arial Narrow" w:hAnsi="Arial Narrow"/>
                <w:b w:val="false"/>
                <w:i w:val="false"/>
                <w:color w:val="000080"/>
                <w:sz w:val="22"/>
                <w:szCs w:val="22"/>
              </w:rPr>
              <w:t>Quellenangabe</w:t>
            </w:r>
            <w:r>
              <w:rPr>
                <w:rFonts w:cs="Arial Narrow" w:ascii="Arial Narrow" w:hAnsi="Arial Narrow"/>
                <w:b w:val="false"/>
                <w:i w:val="false"/>
                <w:sz w:val="22"/>
                <w:szCs w:val="22"/>
              </w:rPr>
              <w:t xml:space="preserve"> im </w:t>
            </w:r>
            <w:r>
              <w:rPr>
                <w:rFonts w:cs="Arial Narrow" w:ascii="Arial Narrow" w:hAnsi="Arial Narrow"/>
                <w:b w:val="false"/>
                <w:i w:val="false"/>
                <w:color w:val="000080"/>
                <w:sz w:val="22"/>
                <w:szCs w:val="22"/>
              </w:rPr>
              <w:t>Quellenverzeichnis</w:t>
            </w:r>
            <w:r>
              <w:rPr>
                <w:rFonts w:cs="Arial Narrow" w:ascii="Arial Narrow" w:hAnsi="Arial Narrow"/>
                <w:b w:val="false"/>
                <w:i w:val="false"/>
                <w:sz w:val="22"/>
                <w:szCs w:val="22"/>
              </w:rPr>
              <w:t xml:space="preserve"> aufzunehmen und zu ordnen.</w:t>
            </w:r>
          </w:p>
        </w:tc>
        <w:tc>
          <w:tcPr>
            <w:tcW w:w="11852" w:type="dxa"/>
            <w:gridSpan w:val="3"/>
            <w:tcBorders>
              <w:top w:val="nil"/>
              <w:left w:val="nil"/>
              <w:bottom w:val="nil"/>
              <w:insideH w:val="nil"/>
              <w:right w:val="nil"/>
              <w:insideV w:val="nil"/>
            </w:tcBorders>
            <w:shd w:fill="FFFFFF" w:val="clear"/>
          </w:tcPr>
          <w:p>
            <w:pPr>
              <w:pStyle w:val="Textkrper"/>
              <w:spacing w:before="0" w:after="113"/>
              <w:rPr>
                <w:rFonts w:cs="Arial Narrow" w:ascii="Arial Narrow" w:hAnsi="Arial Narrow"/>
                <w:sz w:val="20"/>
                <w:szCs w:val="20"/>
              </w:rPr>
            </w:pPr>
            <w:r>
              <w:rPr>
                <w:rFonts w:cs="Arial Narrow" w:ascii="Arial Narrow" w:hAnsi="Arial Narrow"/>
                <w:sz w:val="20"/>
                <w:szCs w:val="20"/>
              </w:rPr>
              <w:t>Alle Quellen werden alphabetisch nach Verfasser sortiert und ggf. nummeriert.</w:t>
              <w:br/>
              <w:t>Verwendete Quellen sind solche, auf die in den Ausführungen eingegangen wurde. In den Ausführungen muss vom entsprechenden Gedanken unmittelbar und unmissverständlich mit einem Quellenverweis auf die Angabe im Quellenverzeichnis verwiesen werden.</w:t>
              <w:br/>
              <w:t xml:space="preserve">Quellen ohne </w:t>
            </w:r>
            <w:r>
              <w:rPr>
                <w:rFonts w:cs="Arial Narrow" w:ascii="Arial Narrow" w:hAnsi="Arial Narrow"/>
                <w:sz w:val="20"/>
                <w:szCs w:val="20"/>
                <w:lang w:val="de-DE" w:eastAsia="zh-CN" w:bidi="hi-IN"/>
              </w:rPr>
              <w:t>Quellenverweis</w:t>
            </w:r>
            <w:r>
              <w:rPr>
                <w:rFonts w:cs="Arial Narrow" w:ascii="Arial Narrow" w:hAnsi="Arial Narrow"/>
                <w:sz w:val="20"/>
                <w:szCs w:val="20"/>
              </w:rPr>
              <w:t xml:space="preserve"> aus den Ausführungen, die dennoch thematisch interessant sind, sind sg. weiterführende Quellen und können im </w:t>
            </w:r>
            <w:r>
              <w:rPr>
                <w:rFonts w:cs="Arial Narrow" w:ascii="Arial Narrow" w:hAnsi="Arial Narrow"/>
                <w:sz w:val="20"/>
                <w:szCs w:val="20"/>
                <w:lang w:val="de-DE" w:eastAsia="zh-CN" w:bidi="hi-IN"/>
              </w:rPr>
              <w:t>Quellenverzeichnis</w:t>
            </w:r>
            <w:r>
              <w:rPr>
                <w:rFonts w:cs="Arial Narrow" w:ascii="Arial Narrow" w:hAnsi="Arial Narrow"/>
                <w:sz w:val="20"/>
                <w:szCs w:val="20"/>
              </w:rPr>
              <w:t xml:space="preserve"> gesondert aufgeführt werden.</w:t>
              <w:br/>
              <w:t>Nicht verwendete Quellen verbleiben weiterhin im Arbeitsordner …</w:t>
              <w:br/>
              <w:t>Es kann sinnvoll sein, ein Literaturverzeichnis vom Quellenverzeichnis zu trennen.</w:t>
            </w:r>
          </w:p>
        </w:tc>
      </w:tr>
    </w:tbl>
    <w:p>
      <w:pPr>
        <w:pStyle w:val="Normal"/>
        <w:spacing w:lineRule="auto" w:line="288" w:before="0" w:after="113"/>
        <w:rPr/>
      </w:pPr>
      <w:r>
        <w:rPr/>
      </w:r>
    </w:p>
    <w:sectPr>
      <w:type w:val="nextPage"/>
      <w:pgSz w:orient="landscape" w:w="16838" w:h="11906"/>
      <w:pgMar w:left="1134" w:right="1134" w:header="0" w:top="567" w:footer="0" w:bottom="567"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kkurat-Light">
    <w:charset w:val="01"/>
    <w:family w:val="auto"/>
    <w:pitch w:val="default"/>
  </w:font>
  <w:font w:name="Times New Roman">
    <w:charset w:val="01"/>
    <w:family w:val="auto"/>
    <w:pitch w:val="default"/>
  </w:font>
  <w:font w:name="Arial">
    <w:charset w:val="01"/>
    <w:family w:val="auto"/>
    <w:pitch w:val="default"/>
  </w:font>
  <w:font w:name="Arial Narrow">
    <w:charset w:val="01"/>
    <w:family w:val="auto"/>
    <w:pitch w:val="default"/>
  </w:font>
</w:fonts>
</file>

<file path=word/settings.xml><?xml version="1.0" encoding="utf-8"?>
<w:settings xmlns:w="http://schemas.openxmlformats.org/wordprocessingml/2006/main">
  <w:zoom w:percent="29"/>
  <w:displayBackgroundShape/>
  <w:defaultTabStop w:val="709"/>
</w:settings>
</file>

<file path=word/styles.xml><?xml version="1.0" encoding="utf-8"?>
<w:styles xmlns:w="http://schemas.openxmlformats.org/wordprocessingml/2006/main">
  <w:docDefaults>
    <w:rPrDefault>
      <w:rPr>
        <w:rFonts w:ascii="Akkurat-Light" w:hAnsi="Akkurat-Light" w:eastAsia="Arial Unicode MS" w:cs="Lucida Sans"/>
        <w:sz w:val="22"/>
        <w:szCs w:val="24"/>
        <w:lang w:val="de-DE" w:eastAsia="zh-CN" w:bidi="hi-IN"/>
      </w:rPr>
    </w:rPrDefault>
    <w:pPrDefault>
      <w:pPr/>
    </w:pPrDefault>
  </w:docDefaults>
  <w:style w:type="paragraph" w:styleId="Normal">
    <w:name w:val="Normal"/>
    <w:pPr>
      <w:widowControl w:val="false"/>
      <w:suppressAutoHyphens w:val="true"/>
      <w:overflowPunct w:val="true"/>
      <w:bidi w:val="0"/>
      <w:jc w:val="left"/>
    </w:pPr>
    <w:rPr>
      <w:rFonts w:ascii="Times New Roman" w:hAnsi="Times New Roman" w:eastAsia="SimSun" w:cs="Mangal"/>
      <w:color w:val="00000A"/>
      <w:sz w:val="24"/>
      <w:szCs w:val="24"/>
      <w:lang w:val="de-DE" w:eastAsia="zh-CN" w:bidi="hi-IN"/>
    </w:rPr>
  </w:style>
  <w:style w:type="paragraph" w:styleId="Berschrift1">
    <w:name w:val="Überschrift 1"/>
    <w:basedOn w:val="Berschrift"/>
    <w:pPr>
      <w:ind w:left="0" w:right="0" w:hanging="0"/>
    </w:pPr>
    <w:rPr>
      <w:rFonts w:ascii="Times New Roman" w:hAnsi="Times New Roman" w:eastAsia="SimSun" w:cs="Mangal"/>
      <w:b/>
      <w:bCs/>
      <w:sz w:val="48"/>
      <w:szCs w:val="48"/>
    </w:rPr>
  </w:style>
  <w:style w:type="character" w:styleId="Internetlink">
    <w:name w:val="Internetlink"/>
    <w:rPr>
      <w:color w:val="000080"/>
      <w:u w:val="single"/>
      <w:lang w:val="zxx" w:eastAsia="zxx" w:bidi="zxx"/>
    </w:rPr>
  </w:style>
  <w:style w:type="character" w:styleId="BesuchterInternetlink">
    <w:name w:val="Besuchter Internetlink"/>
    <w:rPr>
      <w:color w:val="800000"/>
      <w:u w:val="single"/>
      <w:lang w:val="zxx" w:eastAsia="zxx" w:bidi="zxx"/>
    </w:rPr>
  </w:style>
  <w:style w:type="paragraph" w:styleId="Berschrift">
    <w:name w:val="Überschrift"/>
    <w:basedOn w:val="Normal"/>
    <w:next w:val="Textkrper"/>
    <w:pPr>
      <w:keepNext/>
      <w:spacing w:before="240" w:after="120"/>
    </w:pPr>
    <w:rPr>
      <w:rFonts w:ascii="Arial" w:hAnsi="Arial" w:eastAsia="Microsoft YaHei" w:cs="Mangal"/>
      <w:sz w:val="28"/>
      <w:szCs w:val="28"/>
    </w:rPr>
  </w:style>
  <w:style w:type="paragraph" w:styleId="Textkrper">
    <w:name w:val="Textkörper"/>
    <w:basedOn w:val="Normal"/>
    <w:pPr>
      <w:spacing w:lineRule="auto" w:line="288" w:before="0" w:after="120"/>
    </w:pPr>
    <w:rPr/>
  </w:style>
  <w:style w:type="paragraph" w:styleId="Liste">
    <w:name w:val="Liste"/>
    <w:basedOn w:val="Textkrper"/>
    <w:pPr/>
    <w:rPr>
      <w:rFonts w:ascii="Akkurat-Light" w:hAnsi="Akkurat-Light" w:cs="Mangal"/>
    </w:rPr>
  </w:style>
  <w:style w:type="paragraph" w:styleId="Beschriftung">
    <w:name w:val="Beschriftung"/>
    <w:basedOn w:val="Normal"/>
    <w:pPr>
      <w:suppressLineNumbers/>
      <w:spacing w:before="120" w:after="120"/>
    </w:pPr>
    <w:rPr>
      <w:rFonts w:ascii="Akkurat-Light" w:hAnsi="Akkurat-Light" w:cs="Mangal"/>
      <w:i/>
      <w:iCs/>
      <w:sz w:val="24"/>
      <w:szCs w:val="24"/>
    </w:rPr>
  </w:style>
  <w:style w:type="paragraph" w:styleId="Verzeichnis">
    <w:name w:val="Verzeichnis"/>
    <w:basedOn w:val="Normal"/>
    <w:pPr>
      <w:suppressLineNumbers/>
    </w:pPr>
    <w:rPr>
      <w:rFonts w:ascii="Akkurat-Light" w:hAnsi="Akkurat-Light" w:cs="Mangal"/>
    </w:rPr>
  </w:style>
  <w:style w:type="paragraph" w:styleId="TabellenInhalt">
    <w:name w:val="Tabellen Inhalt"/>
    <w:basedOn w:val="Normal"/>
    <w:pPr>
      <w:suppressLineNumbers/>
    </w:pPr>
    <w:rPr/>
  </w:style>
  <w:style w:type="paragraph" w:styleId="Tabellenberschrift">
    <w:name w:val="Tabellen Überschrift"/>
    <w:basedOn w:val="TabellenInhal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mithw.de/dat/wp/zit.html" TargetMode="External"/><Relationship Id="rId3" Type="http://schemas.openxmlformats.org/officeDocument/2006/relationships/hyperlink" Target="http://opac.uni-erfurt.de/DB=1/LNG=DU/" TargetMode="External"/><Relationship Id="rId4" Type="http://schemas.openxmlformats.org/officeDocument/2006/relationships/hyperlink" Target="https://portal.dnb.de/opac.htm;jsessionid=044B0AE7CDFCBFB21442FA1EE4739389.prod-worker0?view=redirect%3A%2Fopac.htm&amp;dodServiceUrl=https%3A%2F%2Fportal.dnb.de%2Fdod" TargetMode="External"/><Relationship Id="rId5" Type="http://schemas.openxmlformats.org/officeDocument/2006/relationships/hyperlink" Target="http://mithw.de/dat/wp/4221z.html" TargetMode="External"/><Relationship Id="rId6" Type="http://schemas.openxmlformats.org/officeDocument/2006/relationships/hyperlink" Target="http://rzblx10.uni-regensburg.de/dbinfo/detail.php?bib_id=uberf&amp;colors=&amp;ocolors=&amp;lett=a&amp;tid=0&amp;titel_id=12499" TargetMode="External"/><Relationship Id="rId7" Type="http://schemas.openxmlformats.org/officeDocument/2006/relationships/fontTable" Target="fontTable.xml"/><Relationship Id="rId8"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766</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2017-09-26T09:58:12Z</dcterms:created>
  <dc:language>de-DE</dc:language>
  <cp:lastPrinted>2017-09-30T19:57:00Z</cp:lastPrinted>
  <dcterms:modified xsi:type="dcterms:W3CDTF">2017-09-26T11:06:22Z</dcterms:modified>
  <cp:revision>3</cp:revision>
</cp:coreProperties>
</file>